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Emily Gammon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Task Stones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Human-to-Tools/Digitally Mediated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Focused work is best accomplished when stress is well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managed. By using a system of physical objects which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directly correlate to a person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s capacity for work, individuals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can minimize worry about taking on more than they can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handle. Individually, a stone is an elegant representation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 the task it marks; as a whole, the set serves as a visual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reminder to the user, and those around them of, </w:t>
      </w:r>
      <w:r>
        <w:rPr>
          <w:rFonts w:hAnsi="Helvetica" w:hint="default"/>
          <w:rtl w:val="0"/>
        </w:rPr>
        <w:t>“</w:t>
      </w:r>
      <w:r>
        <w:rPr>
          <w:rtl w:val="0"/>
          <w:lang w:val="en-US"/>
        </w:rPr>
        <w:t>what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</w:rPr>
        <w:t>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on your plate.</w:t>
      </w:r>
      <w:r>
        <w:rPr>
          <w:rFonts w:hAnsi="Helvetica" w:hint="default"/>
          <w:rtl w:val="0"/>
        </w:rPr>
        <w:t xml:space="preserve">” </w:t>
      </w:r>
      <w:r>
        <w:rPr>
          <w:rtl w:val="0"/>
          <w:lang w:val="en-US"/>
        </w:rPr>
        <w:t>The Task Stones come in three sizes.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smallest stones are made to mark quick and easy tasks,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medium stones represent moderate tasks, and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largest stones represent the tasks of greatest importance.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To further elevate the form of the Stones and clearly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visualize their workload, users will be able to categorize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their tasks using a computer interface and the use of LED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lights.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